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13D82" w:rsidRDefault="00C36EE4">
      <w:pPr>
        <w:spacing w:before="54"/>
        <w:ind w:left="250"/>
        <w:jc w:val="both"/>
        <w:rPr>
          <w:sz w:val="48"/>
        </w:rPr>
      </w:pPr>
      <w:r>
        <w:rPr>
          <w:noProof/>
          <w:lang w:val="sk-SK" w:eastAsia="sk-SK"/>
        </w:rPr>
        <mc:AlternateContent>
          <mc:Choice Requires="wps">
            <w:drawing>
              <wp:anchor distT="0" distB="0" distL="0" distR="0" simplePos="0" relativeHeight="251657216" behindDoc="1" locked="0" layoutInCell="1" allowOverlap="1">
                <wp:simplePos x="0" y="0"/>
                <wp:positionH relativeFrom="page">
                  <wp:posOffset>929640</wp:posOffset>
                </wp:positionH>
                <wp:positionV relativeFrom="paragraph">
                  <wp:posOffset>417830</wp:posOffset>
                </wp:positionV>
                <wp:extent cx="5605145" cy="0"/>
                <wp:effectExtent l="5715" t="5080" r="8890" b="1397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9144">
                          <a:solidFill>
                            <a:srgbClr val="EBE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0857"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pt,32.9pt" to="514.5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hZ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" strokecolor="#ebebeb" strokeweight=".72pt">
                <w10:wrap type="topAndBottom" anchorx="page"/>
              </v:line>
            </w:pict>
          </mc:Fallback>
        </mc:AlternateContent>
      </w:r>
      <w:r>
        <w:rPr>
          <w:color w:val="444444"/>
          <w:sz w:val="48"/>
        </w:rPr>
        <w:t>Trestnoprávne hľadisko šikanovania</w:t>
      </w:r>
    </w:p>
    <w:p w:rsidR="00E13D82" w:rsidRDefault="00C36EE4">
      <w:pPr>
        <w:pStyle w:val="Zkladntext"/>
        <w:spacing w:before="139" w:line="259" w:lineRule="auto"/>
      </w:pPr>
      <w:r>
        <w:t>Šikanovanie a násilie je nesporne vážnym sociálno–patologickým javom, ktorého prevýchova a resocializácia je veľmi náročná. Je potrebné informovať žiakov, že tieto formy správania nie sú neškodným humorom, zábavou, ale môžu naplniť skutkovú podstatu priestupku alebo trestného činu.</w:t>
      </w:r>
    </w:p>
    <w:p w:rsidR="00E13D82" w:rsidRDefault="00C36EE4">
      <w:pPr>
        <w:pStyle w:val="Zkladntext"/>
        <w:spacing w:before="143"/>
        <w:ind w:right="0"/>
      </w:pPr>
      <w:r>
        <w:t>Priestupkový a Trestný zákon nepoznajú skutkovú podstatu priestupku alebo trestného činu</w:t>
      </w:r>
    </w:p>
    <w:p w:rsidR="00E13D82" w:rsidRDefault="00C36EE4">
      <w:pPr>
        <w:pStyle w:val="Zkladntext"/>
        <w:spacing w:before="21" w:line="259" w:lineRule="auto"/>
      </w:pPr>
      <w:r>
        <w:t>„šikanovanie“. Z hľadiska priestupkového zákona môže šikanovanie žiakov napĺňať skutkovú podstatu priestupku proti občianskemu spolunažívaniu (§49) a priestupku proti majetku (§50). Z paragrafu 49 v súvislosti so šikanovaním vyberáme:</w:t>
      </w:r>
    </w:p>
    <w:p w:rsidR="00E13D82" w:rsidRDefault="00C36EE4">
      <w:pPr>
        <w:spacing w:before="148"/>
        <w:ind w:left="175"/>
        <w:jc w:val="both"/>
        <w:rPr>
          <w:sz w:val="24"/>
        </w:rPr>
      </w:pPr>
      <w:r>
        <w:rPr>
          <w:b/>
          <w:sz w:val="24"/>
        </w:rPr>
        <w:t xml:space="preserve">Priestupku proti občianskemu spolužitiu </w:t>
      </w:r>
      <w:r>
        <w:rPr>
          <w:sz w:val="24"/>
        </w:rPr>
        <w:t>sa dopustí ten, kto:</w:t>
      </w:r>
    </w:p>
    <w:p w:rsidR="00E13D82" w:rsidRDefault="00C36EE4">
      <w:pPr>
        <w:pStyle w:val="Odsekzoznamu"/>
        <w:numPr>
          <w:ilvl w:val="0"/>
          <w:numId w:val="1"/>
        </w:numPr>
        <w:tabs>
          <w:tab w:val="left" w:pos="476"/>
        </w:tabs>
        <w:spacing w:before="170"/>
        <w:rPr>
          <w:sz w:val="24"/>
        </w:rPr>
      </w:pPr>
      <w:r>
        <w:rPr>
          <w:sz w:val="24"/>
        </w:rPr>
        <w:t>inému ublíži na cti tým, že ho urazí alebo vydá na</w:t>
      </w:r>
      <w:r>
        <w:rPr>
          <w:spacing w:val="-6"/>
          <w:sz w:val="24"/>
        </w:rPr>
        <w:t xml:space="preserve"> </w:t>
      </w:r>
      <w:r>
        <w:rPr>
          <w:sz w:val="24"/>
        </w:rPr>
        <w:t>posmech,</w:t>
      </w:r>
    </w:p>
    <w:p w:rsidR="00E13D82" w:rsidRDefault="00C36EE4">
      <w:pPr>
        <w:pStyle w:val="Odsekzoznamu"/>
        <w:numPr>
          <w:ilvl w:val="0"/>
          <w:numId w:val="1"/>
        </w:numPr>
        <w:tabs>
          <w:tab w:val="left" w:pos="476"/>
        </w:tabs>
        <w:rPr>
          <w:sz w:val="24"/>
        </w:rPr>
      </w:pPr>
      <w:r>
        <w:rPr>
          <w:sz w:val="24"/>
        </w:rPr>
        <w:t>inému z nedbanlivosti ublíži na</w:t>
      </w:r>
      <w:r>
        <w:rPr>
          <w:spacing w:val="-3"/>
          <w:sz w:val="24"/>
        </w:rPr>
        <w:t xml:space="preserve"> </w:t>
      </w:r>
      <w:r>
        <w:rPr>
          <w:sz w:val="24"/>
        </w:rPr>
        <w:t>zdraví,</w:t>
      </w:r>
    </w:p>
    <w:p w:rsidR="00E13D82" w:rsidRDefault="00C36EE4">
      <w:pPr>
        <w:pStyle w:val="Odsekzoznamu"/>
        <w:numPr>
          <w:ilvl w:val="0"/>
          <w:numId w:val="1"/>
        </w:numPr>
        <w:tabs>
          <w:tab w:val="left" w:pos="476"/>
        </w:tabs>
        <w:spacing w:before="22" w:line="259" w:lineRule="auto"/>
        <w:ind w:right="410"/>
        <w:rPr>
          <w:sz w:val="24"/>
        </w:rPr>
      </w:pPr>
      <w:r>
        <w:rPr>
          <w:sz w:val="24"/>
        </w:rPr>
        <w:t>úmyselne naruší občianske spolunažívanie vyhrážaním ujmou na zdraví, drobným ublížením na zdraví, nepravdivým obvinením z priestupku, schválnosťami alebo iným hrubým</w:t>
      </w:r>
      <w:r>
        <w:rPr>
          <w:spacing w:val="-1"/>
          <w:sz w:val="24"/>
        </w:rPr>
        <w:t xml:space="preserve"> </w:t>
      </w:r>
      <w:r>
        <w:rPr>
          <w:sz w:val="24"/>
        </w:rPr>
        <w:t>správaním.</w:t>
      </w:r>
    </w:p>
    <w:p w:rsidR="00E13D82" w:rsidRDefault="00C36EE4">
      <w:pPr>
        <w:pStyle w:val="Zkladntext"/>
        <w:spacing w:before="152" w:line="259" w:lineRule="auto"/>
      </w:pPr>
      <w:r>
        <w:rPr>
          <w:b/>
        </w:rPr>
        <w:t xml:space="preserve">Priestupku proti majetku </w:t>
      </w:r>
      <w:r>
        <w:t>(§50) sa dopustí ten, kto úmyselne spôsobí škodu na cudzom majetku krádežou, spreneverou, podvodom alebo zničením alebo poškodením veci z takého majetku alebo sa o také konanie pokúsi. (škoda do 266 Eur) Zodpovedným za priestupok nie je zodpovedný ten, kto v čase jeho spáchania nedovŕšil pätnásty rok svojho</w:t>
      </w:r>
      <w:r>
        <w:rPr>
          <w:spacing w:val="-8"/>
        </w:rPr>
        <w:t xml:space="preserve"> </w:t>
      </w:r>
      <w:r>
        <w:t>veku.</w:t>
      </w:r>
    </w:p>
    <w:p w:rsidR="00E13D82" w:rsidRDefault="00C36EE4">
      <w:pPr>
        <w:pStyle w:val="Zkladntext"/>
        <w:spacing w:before="142" w:line="259" w:lineRule="auto"/>
        <w:ind w:right="111"/>
      </w:pPr>
      <w:r>
        <w:t>Šikanovanie spadá pod kategóriu viacerých trestných činov, čo si málokedy</w:t>
      </w:r>
      <w:r>
        <w:rPr>
          <w:spacing w:val="19"/>
        </w:rPr>
        <w:t xml:space="preserve"> </w:t>
      </w:r>
      <w:r>
        <w:t>aktéri šikanovania uvedomujú. Šikanovania sa bezprostredne dotýka §189 – vydieranie, §192 – nátlak, §155-157 – ublíženie na zdraví, §212 – krádež, §215 – neoprávnené užívanie cudzej veci, §360 - nebezpečné vyhrážanie a §365 -</w:t>
      </w:r>
      <w:r>
        <w:rPr>
          <w:spacing w:val="-5"/>
        </w:rPr>
        <w:t xml:space="preserve"> </w:t>
      </w:r>
      <w:r>
        <w:t>výtržníctvo.</w:t>
      </w:r>
    </w:p>
    <w:p w:rsidR="00E13D82" w:rsidRDefault="00C36EE4">
      <w:pPr>
        <w:pStyle w:val="Zkladntext"/>
        <w:spacing w:before="147" w:line="259" w:lineRule="auto"/>
      </w:pPr>
      <w:r>
        <w:rPr>
          <w:b/>
        </w:rPr>
        <w:t xml:space="preserve">Vydieranie </w:t>
      </w:r>
      <w:r>
        <w:t>vymedzuje §189 ako trestný čin, ktorého sa dopúšťa ten, „kto iného násilím, hrozbou násilia alebo hrozbou inej ťažkej ujmy núti, aby niečo konal, opomenul alebo trpel.“ Páchateľ tohto trestného činu sa potrestá odňatím slobody na dva roky až šesť rokov. Odňatím slobody na štyri až desať rokov sa páchateľ potrestá, ak spáchal tento čin napríklad na chránenej osobe (napr. dieťa – osoba mladšia ako osemnásť rokov, ak nenadobudla plnoletosť už skôr), ak ho spáchal so zbraňou (zbraň je čokoľvek, čo možno útok voči telu urobiť dôraznejším), z pomsty.</w:t>
      </w:r>
    </w:p>
    <w:p w:rsidR="00E13D82" w:rsidRDefault="00C36EE4">
      <w:pPr>
        <w:pStyle w:val="Zkladntext"/>
        <w:spacing w:before="141" w:line="259" w:lineRule="auto"/>
      </w:pPr>
      <w:r>
        <w:rPr>
          <w:b/>
        </w:rPr>
        <w:t xml:space="preserve">Nátlak </w:t>
      </w:r>
      <w:r>
        <w:t>vymedzuje §192: „kto iného núti, aby niečo konal, opomenul alebo trpel zneužívajúc jeho hmotnú núdzu alebo naliehavú nemajetkovú potrebu, alebo tieseň vyvolanú jeho nepriaznivými osobnými pomermi, potrestá sa odňatím slobody až na tri roky.“ Odňatím slobody na jeden rok až päť rokov sa páchateľ potrestá, ak uvedený čin spácha napr. na chránenej osobe, so zbraňou, z pomsty. Odňatím slobody na štyri roky až desať rokov sa páchateľ potrestá ak spácha uvedený čin tak, že ním spôsobí ťažkú ujmu na zdraví alebo smrť alebo ním spôsobí značnú škodu..</w:t>
      </w:r>
    </w:p>
    <w:p w:rsidR="00E13D82" w:rsidRDefault="00C36EE4">
      <w:pPr>
        <w:pStyle w:val="Zkladntext"/>
        <w:spacing w:before="141" w:line="259" w:lineRule="auto"/>
      </w:pPr>
      <w:r>
        <w:rPr>
          <w:b/>
        </w:rPr>
        <w:t xml:space="preserve">Ublíženie na zdraví </w:t>
      </w:r>
      <w:r>
        <w:t>- §155,ods.1) „kto úmyselne spôsobí ťažkú ujmu na zdraví, potrestá sa odňatím slobody na štyri roky až desať rokov. Odst.2) Odňatím slobody na päť rokov až dvanásť rokov sa páchateľ potrestá, ak spácha čin uvedený v odseku 1 závažnejším spôsobom konania, na chránenej osobe, alebo z osobitného motívu. Odst.3) odňatím slobody na desať</w:t>
      </w:r>
    </w:p>
    <w:p w:rsidR="00E13D82" w:rsidRDefault="00E13D82">
      <w:pPr>
        <w:spacing w:line="259" w:lineRule="auto"/>
        <w:sectPr w:rsidR="00E13D82">
          <w:type w:val="continuous"/>
          <w:pgSz w:w="11900" w:h="16840"/>
          <w:pgMar w:top="1360" w:right="1300" w:bottom="280" w:left="1240" w:header="708" w:footer="708" w:gutter="0"/>
          <w:cols w:space="708"/>
        </w:sectPr>
      </w:pPr>
    </w:p>
    <w:p w:rsidR="00E13D82" w:rsidRDefault="00C36EE4">
      <w:pPr>
        <w:pStyle w:val="Zkladntext"/>
        <w:spacing w:before="72" w:line="259" w:lineRule="auto"/>
      </w:pPr>
      <w:r>
        <w:lastRenderedPageBreak/>
        <w:t>rokov až pätnásť rokov sa páchateľ potrestá, ak spácha čin uvedený v odseku 1 ako člen nebezpečného zoskupenia, alebo za krízovej situácie. §156, odst.1) Kto inému</w:t>
      </w:r>
      <w:r>
        <w:rPr>
          <w:spacing w:val="18"/>
        </w:rPr>
        <w:t xml:space="preserve"> </w:t>
      </w:r>
      <w:r>
        <w:t>úmyselne ublíži na zdraví, potrestá sa odňatím slobody na šesť mesiacov až dva roky.Odst.2) Odňatím slobody na jeden rok až tri roky sa páchateľ potrestá, ak spácha čin uvedený v odst.1 na chránenej osobe alebo z osobitného motívu. § 158 Kto inému z nedbanlivosti ublíži na zdraví tým, že poruší dôležitú povinnosť vyplývajúcu z jeho zamestnania, povolania, postavenia alebo funkcie alebo uloženú mu podľa zákona, potrestá sa odňatím slobody až na jeden</w:t>
      </w:r>
      <w:r>
        <w:rPr>
          <w:spacing w:val="-19"/>
        </w:rPr>
        <w:t xml:space="preserve"> </w:t>
      </w:r>
      <w:r>
        <w:t>rok.</w:t>
      </w:r>
    </w:p>
    <w:p w:rsidR="00E13D82" w:rsidRDefault="00C36EE4">
      <w:pPr>
        <w:pStyle w:val="Zkladntext"/>
        <w:spacing w:before="145" w:line="259" w:lineRule="auto"/>
      </w:pPr>
      <w:r>
        <w:rPr>
          <w:b/>
        </w:rPr>
        <w:t xml:space="preserve">Krádež </w:t>
      </w:r>
      <w:r>
        <w:t xml:space="preserve">- §212, odst.1) „kto si prisvojí cudziu vec tým, že sa jej zmocní a spôsobí tak malú škodu, potrestá sa odňatím slobody až na dva roky. V súvislosti s problematikou šikanovania z odst.2) vyberám „rovnako ako v odst.1 sa potrestá, kto si prisvojí cudziu vec tým, že sa jej zmocní a čin spácha vlámaním, bezprostredne po čine sa pokúsi uchovať si vec násilím alebo hrozbou bezprostredného násilia, čin spácha na vec, ktorú má iný na sebe alebo pri sebe, bol za obdobný čin v predchádzajúcich dvanástich mesiacoch postihnutý. Násilné odobratie veci (peňazí, jedla, oblečenia, hračiek) aj malej finančnej hodnoty, môže byť kvalifikované ako trestný čin </w:t>
      </w:r>
      <w:r>
        <w:rPr>
          <w:b/>
        </w:rPr>
        <w:t xml:space="preserve">lúpeže </w:t>
      </w:r>
      <w:r>
        <w:t>- §188, odst.1 – „kto proti inému použije násilie alebo hrozbu bezprostredného násilia v úmysle zmocniť sa cudzej veci, potrestá sa odňatím slobody na tri až osem rokov.“ Rozhodujúci je totiž samotný fakt, že bolo použité násilie a nie výška hmotnej</w:t>
      </w:r>
      <w:r>
        <w:rPr>
          <w:spacing w:val="-1"/>
        </w:rPr>
        <w:t xml:space="preserve"> </w:t>
      </w:r>
      <w:r>
        <w:t>straty.</w:t>
      </w:r>
    </w:p>
    <w:p w:rsidR="00E13D82" w:rsidRDefault="00C36EE4">
      <w:pPr>
        <w:pStyle w:val="Zkladntext"/>
        <w:spacing w:before="134" w:line="259" w:lineRule="auto"/>
      </w:pPr>
      <w:r>
        <w:t xml:space="preserve">Z §215 - </w:t>
      </w:r>
      <w:r>
        <w:rPr>
          <w:b/>
        </w:rPr>
        <w:t xml:space="preserve">Neoprávnené užívanie cudzej veci </w:t>
      </w:r>
      <w:r>
        <w:t>vyberáme „kto sa zmocní cudzej veci malej hodnoty v úmysle prechodne ju užívať alebo kto na cudzom majetku spôsobí malú škodu tým, že neoprávnene vec, ktorá mu bola zverená, prechodne užíva, potrestá sa odňatím slobody až na jeden rok.“(malou škodou sa rozumie suma od 266 Eur až do 2660 Eur).</w:t>
      </w:r>
    </w:p>
    <w:p w:rsidR="00E13D82" w:rsidRDefault="00C36EE4">
      <w:pPr>
        <w:pStyle w:val="Zkladntext"/>
        <w:spacing w:before="147" w:line="259" w:lineRule="auto"/>
      </w:pPr>
      <w:r>
        <w:rPr>
          <w:b/>
        </w:rPr>
        <w:t xml:space="preserve">Nebezpečné vyhrážanie </w:t>
      </w:r>
      <w:r>
        <w:t>§360 – Kto sa inému vyhráža smrťou, ťažkou ujmou na zdraví alebo inou ťažkou ujmou takým spôsobom, že to môže vzbudiť dôvodnú obavu, potrestá sa odňatím slobody až na dva roky. Odňatím slobody na šesť mesiacov až tri roky sa páchateľ potrestá, ak spácha takýto čin závažnejším spôsobom konania, na chránenej osobe, preto, aby inému zmaril alebo sťažil uplatnenie jeho základných práv a slobôd, z osobitného motívu, alebo verejne.</w:t>
      </w:r>
    </w:p>
    <w:p w:rsidR="00E13D82" w:rsidRDefault="00C36EE4">
      <w:pPr>
        <w:pStyle w:val="Zkladntext"/>
        <w:spacing w:before="147" w:line="259" w:lineRule="auto"/>
        <w:ind w:right="111"/>
      </w:pPr>
      <w:r>
        <w:t xml:space="preserve">Šikanovanie     môže     veľmi     často     nadobudnúť     skutkovú     podstatu     trestného činu </w:t>
      </w:r>
      <w:r>
        <w:rPr>
          <w:b/>
        </w:rPr>
        <w:t xml:space="preserve">výtržníctva </w:t>
      </w:r>
      <w:r>
        <w:t xml:space="preserve">podľa § 364 - kto sa dopustil slovne alebo fyzicky, verejne alebo na mieste verejnosti prístupnom hrubej neslušnosti alebo výtržnosti najmä tým, že: </w:t>
      </w:r>
      <w:r>
        <w:rPr>
          <w:b/>
        </w:rPr>
        <w:t>napadne iného</w:t>
      </w:r>
      <w:r>
        <w:t>, hanobí štátny symbol, historickú alebo kultúrnu pamiatku, hrubým spôsobom ruší zhromaždenie občanov alebo priebeh športového alebo kultúrneho podujatia, alebo vyvoláva verejné pohoršenie vykonávaním pohlavného styku alebo vykonávaním sexuálneho exhibicionizmu alebo iných patologických sexuálnych praktík, potrestá sa odňatím slobody až na tri roky. Odňatím slobody na šesť mesiacov až tri roky sa páchateľ potrestá, ak spácha uvedený čin z osobitného motívu, závažnejším spôsobom konania, alebo v prítomnosti skupiny osôb mladších ako osemnásť</w:t>
      </w:r>
      <w:r>
        <w:rPr>
          <w:spacing w:val="-2"/>
        </w:rPr>
        <w:t xml:space="preserve"> </w:t>
      </w:r>
      <w:r>
        <w:t>rokov.</w:t>
      </w:r>
    </w:p>
    <w:p w:rsidR="00E13D82" w:rsidRDefault="00C36EE4">
      <w:pPr>
        <w:pStyle w:val="Zkladntext"/>
        <w:spacing w:before="139" w:line="264" w:lineRule="auto"/>
      </w:pPr>
      <w:r>
        <w:t>Je dôležité si uvedomiť, že keď sú páchateľmi deti mladšie ako 14 rokov, nie sú trestne zodpovedné. Tresne zodpovedný nie je ten, kto v čase spáchania činu nebol príčetný (§ 12).</w:t>
      </w:r>
    </w:p>
    <w:p w:rsidR="00E13D82" w:rsidRDefault="00C36EE4">
      <w:pPr>
        <w:pStyle w:val="Zkladntext"/>
        <w:spacing w:before="137" w:line="256" w:lineRule="auto"/>
      </w:pPr>
      <w:r>
        <w:t xml:space="preserve">Trestne zodpovedný je ten, kto v čase spáchania činu </w:t>
      </w:r>
      <w:r>
        <w:rPr>
          <w:b/>
        </w:rPr>
        <w:t>dovŕšil 14 rok svojho veku</w:t>
      </w:r>
      <w:r>
        <w:t>. To však neznamená, že nemôžu byť postihnuté iným spôsobom. V prípadoch, kde bežné výchovné postupy nemajú účinnosť je nutné sa obrátiť na sociálneho kurátora príslušného Úradu práce sociálnych vecí a rodiny. Kurátor je oprávnený vo vážnych a odôvodnených prípadoch na</w:t>
      </w:r>
    </w:p>
    <w:p w:rsidR="00E13D82" w:rsidRDefault="00E13D82">
      <w:pPr>
        <w:spacing w:line="256" w:lineRule="auto"/>
        <w:sectPr w:rsidR="00E13D82">
          <w:pgSz w:w="11900" w:h="16840"/>
          <w:pgMar w:top="1360" w:right="1300" w:bottom="280" w:left="1240" w:header="708" w:footer="708" w:gutter="0"/>
          <w:cols w:space="708"/>
        </w:sectPr>
      </w:pPr>
    </w:p>
    <w:p w:rsidR="00E13D82" w:rsidRDefault="00C36EE4">
      <w:pPr>
        <w:pStyle w:val="Zkladntext"/>
        <w:spacing w:before="72" w:line="261" w:lineRule="auto"/>
      </w:pPr>
      <w:r>
        <w:lastRenderedPageBreak/>
        <w:t>základe šetrenia vydať predbežné opatrenie na umiestnenie dieťaťa do príslušného ústavu. Toto opatrenie platí až do vydania riadneho rozsudku súdu. Z praxe vieme, že realizovať tieto opatrenia je náročné.</w:t>
      </w:r>
    </w:p>
    <w:p w:rsidR="00E13D82" w:rsidRDefault="00C36EE4">
      <w:pPr>
        <w:pStyle w:val="Zkladntext"/>
        <w:spacing w:before="139" w:line="264" w:lineRule="auto"/>
      </w:pPr>
      <w:r>
        <w:t>Rodičia sa pri zanedbávaní výchovy (túlanie, ponocovanie, asociálne správanie) dopúšťajú trestného činu (§211), ak svojmu dieťaťu umožňujú viesť záhaľčivý alebo nemravný život.</w:t>
      </w:r>
    </w:p>
    <w:p w:rsidR="00E13D82" w:rsidRDefault="00C36EE4">
      <w:pPr>
        <w:pStyle w:val="Zkladntext"/>
        <w:spacing w:before="137" w:line="259" w:lineRule="auto"/>
      </w:pPr>
      <w:r>
        <w:t>Učiteľ alebo vychovávateľ, ktorému bude známy prípad šikanovania a neprijme v tomto smere žiadne opatrenie, sa vystavuje riziku trestného postihu. Takýmto konaním môže pedagogický zamestnanec napĺňať i skutkovú podstatu trestného činu neprekazenia trestného činu alebo neoznámenia trestného činu. Pri podozrení, že šikanovanie naplnilo</w:t>
      </w:r>
      <w:r>
        <w:rPr>
          <w:spacing w:val="28"/>
        </w:rPr>
        <w:t xml:space="preserve"> </w:t>
      </w:r>
      <w:r>
        <w:t>skutkovú podstatu priestupku alebo trestného činu, je riaditeľ školy povinný oznámiť túto skutočnosť príslušnému útvaru Policajného zboru SR. Školy sú ďalej povinné bez zbytočného odkladu oznámiť orgánu sociálno–právnej ochrany skutočnosti, ktoré ohrozujú žiaka alebo, že žiak spáchal trestný čin, prípadne opakovane páchal</w:t>
      </w:r>
      <w:r>
        <w:rPr>
          <w:spacing w:val="-4"/>
        </w:rPr>
        <w:t xml:space="preserve"> </w:t>
      </w:r>
      <w:r>
        <w:t>priestupky.</w:t>
      </w:r>
    </w:p>
    <w:p w:rsidR="00E13D82" w:rsidRDefault="00C36EE4">
      <w:pPr>
        <w:pStyle w:val="Zkladntext"/>
        <w:spacing w:before="140" w:line="259" w:lineRule="auto"/>
      </w:pPr>
      <w:r>
        <w:t>Pedagógovia by sa mali pri riešení tejto problematiky skontaktovať so sociálnym kurátorom a s políciou, nakoľko pri šikanovaní sa môžu stretnúť síce „len“ s vyhrážaním, pokiaľ však agresor vzbudí u iného dôvodnú obavu a dôsledkom je neblahý psychický účinok na obeť, ide tiež o trestný čin (nebezpečné vyhrážanie). Aj keď sa to dospelému môže zdať banálne, dieťa tým psychicky trpí a možné sú aj trvalé následky.</w:t>
      </w:r>
    </w:p>
    <w:p w:rsidR="00E13D82" w:rsidRDefault="00E13D82">
      <w:pPr>
        <w:pStyle w:val="Zkladntext"/>
        <w:ind w:left="0" w:right="0"/>
        <w:jc w:val="left"/>
        <w:rPr>
          <w:sz w:val="20"/>
        </w:rPr>
      </w:pPr>
    </w:p>
    <w:p w:rsidR="00E13D82" w:rsidRDefault="00C36EE4">
      <w:pPr>
        <w:pStyle w:val="Zkladntext"/>
        <w:spacing w:before="5"/>
        <w:ind w:left="0" w:right="0"/>
        <w:jc w:val="left"/>
        <w:rPr>
          <w:sz w:val="15"/>
        </w:rPr>
      </w:pPr>
      <w:r>
        <w:rPr>
          <w:noProof/>
          <w:lang w:val="sk-SK" w:eastAsia="sk-SK"/>
        </w:rPr>
        <mc:AlternateContent>
          <mc:Choice Requires="wps">
            <w:drawing>
              <wp:anchor distT="0" distB="0" distL="0" distR="0" simplePos="0" relativeHeight="251658240" behindDoc="1" locked="0" layoutInCell="1" allowOverlap="1">
                <wp:simplePos x="0" y="0"/>
                <wp:positionH relativeFrom="page">
                  <wp:posOffset>929640</wp:posOffset>
                </wp:positionH>
                <wp:positionV relativeFrom="paragraph">
                  <wp:posOffset>142875</wp:posOffset>
                </wp:positionV>
                <wp:extent cx="5605145" cy="0"/>
                <wp:effectExtent l="5715" t="10795" r="8890"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9144">
                          <a:solidFill>
                            <a:srgbClr val="EBEBE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EE2D8"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2pt,11.25pt" to="514.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" strokecolor="#ebebeb" strokeweight=".72pt">
                <w10:wrap type="topAndBottom" anchorx="page"/>
              </v:line>
            </w:pict>
          </mc:Fallback>
        </mc:AlternateContent>
      </w:r>
    </w:p>
    <w:p w:rsidR="00E13D82" w:rsidRDefault="00C36EE4">
      <w:pPr>
        <w:spacing w:before="139"/>
        <w:ind w:left="175"/>
        <w:rPr>
          <w:b/>
          <w:sz w:val="24"/>
        </w:rPr>
      </w:pPr>
      <w:r>
        <w:rPr>
          <w:b/>
          <w:sz w:val="24"/>
        </w:rPr>
        <w:t>Použitá literatúra</w:t>
      </w:r>
    </w:p>
    <w:p w:rsidR="00E13D82" w:rsidRDefault="00C36EE4">
      <w:pPr>
        <w:pStyle w:val="Zkladntext"/>
        <w:spacing w:before="166" w:line="259" w:lineRule="auto"/>
        <w:ind w:right="623"/>
        <w:jc w:val="left"/>
      </w:pPr>
      <w:r>
        <w:t>KOLÁŘ, M. (2011). Nová cesta k léčbe šikany. Praha: Portál 2011, 336 s. ISBN 978-80- 7367-871-5.</w:t>
      </w:r>
    </w:p>
    <w:p w:rsidR="00E13D82" w:rsidRDefault="00C36EE4">
      <w:pPr>
        <w:pStyle w:val="Zkladntext"/>
        <w:spacing w:line="259" w:lineRule="auto"/>
        <w:ind w:right="2459"/>
        <w:jc w:val="left"/>
      </w:pPr>
      <w:r>
        <w:t>VERBOVSKÁ, J. (2000). Šikanovanie na škole. Prešov : 2000 ONDREJKOVIČ, P. a i. (2000). Sociálna patológia. Bratislava : 2000 ŘÍČAN, P. (1995). Agresivita a šikana medzi dětmi. Praha: 1995 Trestný zákon č. 300/2005 Z.z.</w:t>
      </w:r>
    </w:p>
    <w:p w:rsidR="00E13D82" w:rsidRDefault="00C36EE4">
      <w:pPr>
        <w:pStyle w:val="Zkladntext"/>
        <w:spacing w:line="274" w:lineRule="exact"/>
        <w:ind w:right="0"/>
        <w:jc w:val="left"/>
      </w:pPr>
      <w:r>
        <w:t>Zákon o priestupkoch č. 372/1990 Zb.</w:t>
      </w:r>
    </w:p>
    <w:p w:rsidR="00E13D82" w:rsidRDefault="00C36EE4">
      <w:pPr>
        <w:pStyle w:val="Zkladntext"/>
        <w:spacing w:before="16" w:line="259" w:lineRule="auto"/>
        <w:ind w:right="2526"/>
        <w:jc w:val="left"/>
      </w:pPr>
      <w:r>
        <w:t xml:space="preserve">Metodické usmernenie č. 7/2006-R Ministerstva školstva SR. Výskumný ústav detskej psychológie a patopsychológie (2002-2003) </w:t>
      </w:r>
      <w:hyperlink r:id="rId5">
        <w:r>
          <w:t>www.zodpovedne.sk</w:t>
        </w:r>
      </w:hyperlink>
    </w:p>
    <w:p w:rsidR="00E13D82" w:rsidRDefault="00E13D82">
      <w:pPr>
        <w:pStyle w:val="Zkladntext"/>
        <w:ind w:left="0" w:right="0"/>
        <w:jc w:val="left"/>
        <w:rPr>
          <w:sz w:val="26"/>
        </w:rPr>
      </w:pPr>
    </w:p>
    <w:p w:rsidR="00E13D82" w:rsidRDefault="00C36EE4">
      <w:pPr>
        <w:pStyle w:val="Nadpis1"/>
      </w:pPr>
      <w:r>
        <w:t>Autorka:</w:t>
      </w:r>
    </w:p>
    <w:p w:rsidR="00E13D82" w:rsidRDefault="00C36EE4">
      <w:pPr>
        <w:spacing w:before="176"/>
        <w:ind w:left="235"/>
        <w:rPr>
          <w:b/>
          <w:i/>
          <w:sz w:val="24"/>
        </w:rPr>
      </w:pPr>
      <w:r>
        <w:rPr>
          <w:b/>
          <w:i/>
          <w:sz w:val="24"/>
        </w:rPr>
        <w:t>PhDr. Ľudmila Húsková, PhD.</w:t>
      </w:r>
    </w:p>
    <w:p w:rsidR="00E13D82" w:rsidRDefault="00C36EE4">
      <w:pPr>
        <w:pStyle w:val="Zkladntext"/>
        <w:spacing w:before="170"/>
        <w:ind w:right="0"/>
        <w:jc w:val="left"/>
      </w:pPr>
      <w:r>
        <w:t>Špecialista prevencie Okresného riaditeľstva Policajného zboru v Martine</w:t>
      </w:r>
    </w:p>
    <w:p w:rsidR="00E13D82" w:rsidRDefault="00C36EE4">
      <w:pPr>
        <w:pStyle w:val="Zkladntext"/>
        <w:spacing w:before="171"/>
        <w:ind w:right="0"/>
        <w:jc w:val="left"/>
      </w:pPr>
      <w:r>
        <w:t>Členka multiinštitucionálneho tímu pre riešenie násilia na ženách</w:t>
      </w:r>
    </w:p>
    <w:p w:rsidR="00E13D82" w:rsidRDefault="00C36EE4">
      <w:pPr>
        <w:pStyle w:val="Zkladntext"/>
        <w:spacing w:before="165" w:line="264" w:lineRule="auto"/>
        <w:ind w:right="480"/>
        <w:jc w:val="left"/>
      </w:pPr>
      <w:r>
        <w:t>Odborný garant projektu centrum Pokoj  – bezpečný ženský dom pre rodovo podmienené       a domáce</w:t>
      </w:r>
      <w:r>
        <w:rPr>
          <w:spacing w:val="-2"/>
        </w:rPr>
        <w:t xml:space="preserve"> </w:t>
      </w:r>
      <w:r>
        <w:t>násilie</w:t>
      </w:r>
    </w:p>
    <w:p w:rsidR="00E13D82" w:rsidRDefault="00C36EE4">
      <w:pPr>
        <w:pStyle w:val="Zkladntext"/>
        <w:spacing w:before="137" w:line="264" w:lineRule="auto"/>
        <w:ind w:right="314"/>
        <w:jc w:val="left"/>
      </w:pPr>
      <w:r>
        <w:t>Počas svojej praxe sa dlhodobo venuje kriminalite mládeže a sociálno patologickým javom    v školskom</w:t>
      </w:r>
      <w:r>
        <w:rPr>
          <w:spacing w:val="-2"/>
        </w:rPr>
        <w:t xml:space="preserve"> </w:t>
      </w:r>
      <w:r>
        <w:t>prostredí</w:t>
      </w:r>
    </w:p>
    <w:sectPr w:rsidR="00E13D82">
      <w:pgSz w:w="11900" w:h="16840"/>
      <w:pgMar w:top="1360" w:right="13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92D"/>
    <w:multiLevelType w:val="hybridMultilevel"/>
    <w:tmpl w:val="1226AECC"/>
    <w:lvl w:ilvl="0" w:tplc="5DA886E6">
      <w:numFmt w:val="bullet"/>
      <w:lvlText w:val=""/>
      <w:lvlJc w:val="left"/>
      <w:pPr>
        <w:ind w:left="476" w:hanging="360"/>
      </w:pPr>
      <w:rPr>
        <w:rFonts w:ascii="Symbol" w:eastAsia="Symbol" w:hAnsi="Symbol" w:cs="Symbol" w:hint="default"/>
        <w:w w:val="103"/>
        <w:sz w:val="19"/>
        <w:szCs w:val="19"/>
      </w:rPr>
    </w:lvl>
    <w:lvl w:ilvl="1" w:tplc="C22826F4">
      <w:numFmt w:val="bullet"/>
      <w:lvlText w:val="•"/>
      <w:lvlJc w:val="left"/>
      <w:pPr>
        <w:ind w:left="1368" w:hanging="360"/>
      </w:pPr>
      <w:rPr>
        <w:rFonts w:hint="default"/>
      </w:rPr>
    </w:lvl>
    <w:lvl w:ilvl="2" w:tplc="D5C22DA2">
      <w:numFmt w:val="bullet"/>
      <w:lvlText w:val="•"/>
      <w:lvlJc w:val="left"/>
      <w:pPr>
        <w:ind w:left="2256" w:hanging="360"/>
      </w:pPr>
      <w:rPr>
        <w:rFonts w:hint="default"/>
      </w:rPr>
    </w:lvl>
    <w:lvl w:ilvl="3" w:tplc="08864DBC">
      <w:numFmt w:val="bullet"/>
      <w:lvlText w:val="•"/>
      <w:lvlJc w:val="left"/>
      <w:pPr>
        <w:ind w:left="3144" w:hanging="360"/>
      </w:pPr>
      <w:rPr>
        <w:rFonts w:hint="default"/>
      </w:rPr>
    </w:lvl>
    <w:lvl w:ilvl="4" w:tplc="B2C2461A">
      <w:numFmt w:val="bullet"/>
      <w:lvlText w:val="•"/>
      <w:lvlJc w:val="left"/>
      <w:pPr>
        <w:ind w:left="4032" w:hanging="360"/>
      </w:pPr>
      <w:rPr>
        <w:rFonts w:hint="default"/>
      </w:rPr>
    </w:lvl>
    <w:lvl w:ilvl="5" w:tplc="CEEA81B6">
      <w:numFmt w:val="bullet"/>
      <w:lvlText w:val="•"/>
      <w:lvlJc w:val="left"/>
      <w:pPr>
        <w:ind w:left="4920" w:hanging="360"/>
      </w:pPr>
      <w:rPr>
        <w:rFonts w:hint="default"/>
      </w:rPr>
    </w:lvl>
    <w:lvl w:ilvl="6" w:tplc="B8229688">
      <w:numFmt w:val="bullet"/>
      <w:lvlText w:val="•"/>
      <w:lvlJc w:val="left"/>
      <w:pPr>
        <w:ind w:left="5808" w:hanging="360"/>
      </w:pPr>
      <w:rPr>
        <w:rFonts w:hint="default"/>
      </w:rPr>
    </w:lvl>
    <w:lvl w:ilvl="7" w:tplc="4D16A9CA">
      <w:numFmt w:val="bullet"/>
      <w:lvlText w:val="•"/>
      <w:lvlJc w:val="left"/>
      <w:pPr>
        <w:ind w:left="6696" w:hanging="360"/>
      </w:pPr>
      <w:rPr>
        <w:rFonts w:hint="default"/>
      </w:rPr>
    </w:lvl>
    <w:lvl w:ilvl="8" w:tplc="46A4911C">
      <w:numFmt w:val="bullet"/>
      <w:lvlText w:val="•"/>
      <w:lvlJc w:val="left"/>
      <w:pPr>
        <w:ind w:left="758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82"/>
    <w:rsid w:val="00C36EE4"/>
    <w:rsid w:val="00D62414"/>
    <w:rsid w:val="00E13D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8276D-94A1-41FE-BCBC-D214B400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rPr>
  </w:style>
  <w:style w:type="paragraph" w:styleId="Nadpis1">
    <w:name w:val="heading 1"/>
    <w:basedOn w:val="Normlny"/>
    <w:uiPriority w:val="1"/>
    <w:qFormat/>
    <w:pPr>
      <w:spacing w:before="160"/>
      <w:ind w:left="175"/>
      <w:outlineLvl w:val="0"/>
    </w:pPr>
    <w:rPr>
      <w:b/>
      <w:bCs/>
      <w: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75" w:right="110"/>
      <w:jc w:val="both"/>
    </w:pPr>
    <w:rPr>
      <w:sz w:val="24"/>
      <w:szCs w:val="24"/>
    </w:rPr>
  </w:style>
  <w:style w:type="paragraph" w:styleId="Odsekzoznamu">
    <w:name w:val="List Paragraph"/>
    <w:basedOn w:val="Normlny"/>
    <w:uiPriority w:val="1"/>
    <w:qFormat/>
    <w:pPr>
      <w:spacing w:before="17"/>
      <w:ind w:left="476" w:hanging="360"/>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dpovedne.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INFOPRIZpc3</dc:creator>
  <cp:lastModifiedBy>Ľubo</cp:lastModifiedBy>
  <cp:revision>2</cp:revision>
  <dcterms:created xsi:type="dcterms:W3CDTF">2018-12-04T13:10:00Z</dcterms:created>
  <dcterms:modified xsi:type="dcterms:W3CDTF">2018-12-04T13:10:00Z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2018-12-04T00:00:00Z</vt:filetime>
  </property>
</Properties>
</file>