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center"/>
        <w:tblBorders>
          <w:bottom w:color="000000" w:space="0" w:sz="4" w:val="single"/>
        </w:tblBorders>
        <w:tblLayout w:type="fixed"/>
        <w:tblLook w:val="0000"/>
      </w:tblPr>
      <w:tblGrid>
        <w:gridCol w:w="3447"/>
        <w:gridCol w:w="1679"/>
        <w:gridCol w:w="3946"/>
        <w:tblGridChange w:id="0">
          <w:tblGrid>
            <w:gridCol w:w="3447"/>
            <w:gridCol w:w="1679"/>
            <w:gridCol w:w="3946"/>
          </w:tblGrid>
        </w:tblGridChange>
      </w:tblGrid>
      <w:tr>
        <w:trPr>
          <w:trHeight w:val="140" w:hRule="atLeast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-84454</wp:posOffset>
                  </wp:positionV>
                  <wp:extent cx="2056765" cy="799465"/>
                  <wp:effectExtent b="0" l="0" r="0" t="0"/>
                  <wp:wrapSquare wrapText="bothSides" distB="0" distT="0" distL="0" distR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799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-37464</wp:posOffset>
                  </wp:positionH>
                  <wp:positionV relativeFrom="paragraph">
                    <wp:posOffset>-705484</wp:posOffset>
                  </wp:positionV>
                  <wp:extent cx="911860" cy="622300"/>
                  <wp:effectExtent b="0" l="0" r="0" t="0"/>
                  <wp:wrapSquare wrapText="bothSides" distB="0" distT="0" distL="114300" distR="11430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-9438" t="1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622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Stredná odborná škola </w:t>
            </w:r>
          </w:p>
          <w:p w:rsidR="00000000" w:rsidDel="00000000" w:rsidP="00000000" w:rsidRDefault="00000000" w:rsidRPr="00000000" w14:paraId="00000008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poľnohospodárstva a služieb na vidieku</w:t>
            </w:r>
          </w:p>
          <w:p w:rsidR="00000000" w:rsidDel="00000000" w:rsidP="00000000" w:rsidRDefault="00000000" w:rsidRPr="00000000" w14:paraId="00000009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Predmestská 82</w:t>
            </w:r>
          </w:p>
          <w:p w:rsidR="00000000" w:rsidDel="00000000" w:rsidP="00000000" w:rsidRDefault="00000000" w:rsidRPr="00000000" w14:paraId="0000000A">
            <w:pPr>
              <w:tabs>
                <w:tab w:val="left" w:pos="7020"/>
              </w:tabs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010 01 Žilina </w:t>
            </w:r>
          </w:p>
        </w:tc>
      </w:tr>
    </w:tbl>
    <w:p w:rsidR="00000000" w:rsidDel="00000000" w:rsidP="00000000" w:rsidRDefault="00000000" w:rsidRPr="00000000" w14:paraId="0000000B">
      <w:pPr>
        <w:spacing w:after="16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60" w:lineRule="auto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Plán práce koordinátora čitateľskej gramotnosti</w:t>
      </w:r>
    </w:p>
    <w:p w:rsidR="00000000" w:rsidDel="00000000" w:rsidP="00000000" w:rsidRDefault="00000000" w:rsidRPr="00000000" w14:paraId="00000011">
      <w:pPr>
        <w:spacing w:after="160" w:line="360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na SOŠ poľnohospodárstva a služieb na vidieku</w:t>
      </w:r>
    </w:p>
    <w:p w:rsidR="00000000" w:rsidDel="00000000" w:rsidP="00000000" w:rsidRDefault="00000000" w:rsidRPr="00000000" w14:paraId="00000012">
      <w:pPr>
        <w:spacing w:after="160" w:line="360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v šk.roku 2020/2021</w:t>
      </w:r>
    </w:p>
    <w:p w:rsidR="00000000" w:rsidDel="00000000" w:rsidP="00000000" w:rsidRDefault="00000000" w:rsidRPr="00000000" w14:paraId="00000013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_________________</w:t>
        <w:tab/>
        <w:tab/>
        <w:tab/>
        <w:t xml:space="preserve">   </w:t>
        <w:tab/>
        <w:tab/>
        <w:t xml:space="preserve">             _____________________   Mgr.Alexandra Jambrichová</w:t>
        <w:tab/>
        <w:tab/>
        <w:tab/>
        <w:tab/>
        <w:t xml:space="preserve">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   Ing. Ľubomír Schvarc    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koordinátor čitateľskej gramotnosti</w:t>
        <w:tab/>
        <w:tab/>
        <w:tab/>
        <w:t xml:space="preserve"> </w:t>
        <w:tab/>
        <w:t xml:space="preserve">                   riaditeľ školy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Charakteristika kľúčových pojmov vzhľadom na rozvoj čitateľskej gramotnosti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Čitateľská gramotnosť je komplexný súbor čitateľských zručností  potrebných na efektívnu prácu s textom. Cieľom rozvíjania čitateľskej gramotnosti je taký čitateľ, ktorý disponuje čitateľskými kompetenciami, ktoré mu umožňujú pracovať s rozličnými druhmi textov používaných na rôzne účely.</w:t>
      </w:r>
    </w:p>
    <w:p w:rsidR="00000000" w:rsidDel="00000000" w:rsidP="00000000" w:rsidRDefault="00000000" w:rsidRPr="00000000" w14:paraId="00000022">
      <w:pPr>
        <w:shd w:fill="fdfdfd" w:val="clear"/>
        <w:spacing w:after="320" w:before="320" w:line="43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Čitateľské kompetencie zahŕňajú:</w:t>
      </w:r>
    </w:p>
    <w:p w:rsidR="00000000" w:rsidDel="00000000" w:rsidP="00000000" w:rsidRDefault="00000000" w:rsidRPr="00000000" w14:paraId="00000023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techniku čítania,</w:t>
      </w:r>
    </w:p>
    <w:p w:rsidR="00000000" w:rsidDel="00000000" w:rsidP="00000000" w:rsidRDefault="00000000" w:rsidRPr="00000000" w14:paraId="00000024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schopnosť a proces pochopenia textu,</w:t>
      </w:r>
    </w:p>
    <w:p w:rsidR="00000000" w:rsidDel="00000000" w:rsidP="00000000" w:rsidRDefault="00000000" w:rsidRPr="00000000" w14:paraId="00000025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schopnosť identifikovať informácie v texte, hodnotiť prečítané, zapamätať si myšlienky textu, reprodukovať text, dedukovať na základe textu, utvoriť si úsudok,</w:t>
      </w:r>
    </w:p>
    <w:p w:rsidR="00000000" w:rsidDel="00000000" w:rsidP="00000000" w:rsidRDefault="00000000" w:rsidRPr="00000000" w14:paraId="00000026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schopnosť logicky spájať súvislosti, vyvodiť hlavné myšlienky, poučenia, závery,</w:t>
      </w:r>
    </w:p>
    <w:p w:rsidR="00000000" w:rsidDel="00000000" w:rsidP="00000000" w:rsidRDefault="00000000" w:rsidRPr="00000000" w14:paraId="00000027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schopnosť konštruovať myšlienky nad rámec textu a spájať ich v kontexte s predošlými poznatkami a vedomosťami.</w:t>
      </w:r>
    </w:p>
    <w:p w:rsidR="00000000" w:rsidDel="00000000" w:rsidP="00000000" w:rsidRDefault="00000000" w:rsidRPr="00000000" w14:paraId="00000028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Čítanie teda zahŕňa nielen zvládnutie techniky čítania, ale aj intelektuálne spracovanie informácií a ich praktické uplatnenie, využitie v každodennom živote. </w:t>
      </w:r>
    </w:p>
    <w:p w:rsidR="00000000" w:rsidDel="00000000" w:rsidP="00000000" w:rsidRDefault="00000000" w:rsidRPr="00000000" w14:paraId="00000029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našich podmienkach sa pri pojme čítanie, čitateľská gramotnosť vybavuje okamžite súvislosť s vyučovacím predmetom čítanie a slovenský jazyk a literatúra, resp. iný vyučovací jazyk. V pohľade na čitateľskú gramotnosť však </w:t>
      </w:r>
      <w:r w:rsidDel="00000000" w:rsidR="00000000" w:rsidRPr="00000000">
        <w:rPr>
          <w:b w:val="1"/>
          <w:sz w:val="24"/>
          <w:szCs w:val="24"/>
          <w:rtl w:val="0"/>
        </w:rPr>
        <w:t xml:space="preserve">nastali v poslednom období významné zmeny</w:t>
      </w:r>
      <w:r w:rsidDel="00000000" w:rsidR="00000000" w:rsidRPr="00000000">
        <w:rPr>
          <w:sz w:val="24"/>
          <w:szCs w:val="24"/>
          <w:rtl w:val="0"/>
        </w:rPr>
        <w:t xml:space="preserve">. Je pravdou, že žiak získava základné zručnosti čitateľskej gramotnosti najprv v rámci hodín vyučovacieho jazyka.</w:t>
      </w:r>
    </w:p>
    <w:p w:rsidR="00000000" w:rsidDel="00000000" w:rsidP="00000000" w:rsidRDefault="00000000" w:rsidRPr="00000000" w14:paraId="0000002A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Avšak  vzhľadom na to,  že čitateľskú gramotnosť dnes vnímame ako nadpredmetovú, prienikovúzručnosť, je ju </w:t>
      </w:r>
      <w:r w:rsidDel="00000000" w:rsidR="00000000" w:rsidRPr="00000000">
        <w:rPr>
          <w:b w:val="1"/>
          <w:sz w:val="24"/>
          <w:szCs w:val="24"/>
          <w:rtl w:val="0"/>
        </w:rPr>
        <w:t xml:space="preserve">nevyhnutné cielene rozvíjať aj vo vyučovaní ostatných vyučovacích predmetov. </w:t>
      </w:r>
      <w:r w:rsidDel="00000000" w:rsidR="00000000" w:rsidRPr="00000000">
        <w:rPr>
          <w:sz w:val="24"/>
          <w:szCs w:val="24"/>
          <w:rtl w:val="0"/>
        </w:rPr>
        <w:t xml:space="preserve">Totiž komplexné zručnosti čitateľskej gramotnosti ďaleko presahujú priestor, ktorý na jej nácvik a rozvíjanie u žiaka poskytuje vyučovanie vyučovacieho jazyka.</w:t>
      </w:r>
    </w:p>
    <w:p w:rsidR="00000000" w:rsidDel="00000000" w:rsidP="00000000" w:rsidRDefault="00000000" w:rsidRPr="00000000" w14:paraId="0000002B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Takýto prístup súvisí s cieľom čitateľskej gramotnosti, ktorým je čitateľ schopný čítať a  spracovávať texty rozličných typov s obsahom z rozmanitých oblastí. To možno realizovať v rámci všetkých vyučovacích predmetov kognitívneho zamerania (napríklad matematika, dejepis, chémia, ako i všetky odborné predmety).</w:t>
      </w:r>
    </w:p>
    <w:p w:rsidR="00000000" w:rsidDel="00000000" w:rsidP="00000000" w:rsidRDefault="00000000" w:rsidRPr="00000000" w14:paraId="0000002C">
      <w:pPr>
        <w:shd w:fill="fdfdfd" w:val="clear"/>
        <w:spacing w:after="320" w:before="32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Rozvíjanie čitateľskej gramotnosti možno považovať za najpodstatnejšiu súčasť moderného vzdelávania.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Implementácia čitateľskej gramotnosti do vyučovacieho procesu na SOŠ PaSnV v šk. roku 2020/2021</w:t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Pedagogickí zamestnanci budú i v nasledujúcom školskom roku aplikovať čitateľskú gramotnosť do svojich predmetov v súlade s odporúčaniami Ministerstva školstva, vedy, výskumu a športu, týkajúcich sa stredných škôl, ktoré sú zahrnuté v kapitole 2.4.3.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2.4.3. Predčitateľská a čitateľská gramotnosť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Odporúčané priority: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Vytvárať komunikačne a literárne podnetné prostredie, uplatňovať vhodné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komunikačné konvencie a podporovať elementárnu znalosť knižných konvencií,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podporovať jazykové skúsenosti s písanou kultúrou, iniciovať aktívne počúvanie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m, dekódovať význam z počutého, písaného textu, overovať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zapamätávanie a reprodukovanie informácií, uplatňovať špecifické metódy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predčitateľskej gramotnosti, metódy tvorivej dramatizácie.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Informačné a metodické zdroje pre pedagogických zamestnancov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Zoznam poskytovateľov akreditovaných programov kontinuálneho vzdelávania pre</w:t>
      </w:r>
    </w:p>
    <w:p w:rsidR="00000000" w:rsidDel="00000000" w:rsidP="00000000" w:rsidRDefault="00000000" w:rsidRPr="00000000" w14:paraId="0000003F">
      <w:pPr>
        <w:rPr>
          <w:sz w:val="24"/>
          <w:szCs w:val="24"/>
          <w:highlight w:val="darkBlue"/>
        </w:rPr>
      </w:pPr>
      <w:r w:rsidDel="00000000" w:rsidR="00000000" w:rsidRPr="00000000">
        <w:rPr>
          <w:sz w:val="24"/>
          <w:szCs w:val="24"/>
          <w:rtl w:val="0"/>
        </w:rPr>
        <w:t xml:space="preserve">oblasť čitateľskej gramotnosti je zverejnený na </w:t>
      </w:r>
      <w:r w:rsidDel="00000000" w:rsidR="00000000" w:rsidRPr="00000000">
        <w:rPr>
          <w:sz w:val="24"/>
          <w:szCs w:val="24"/>
          <w:highlight w:val="darkBlue"/>
          <w:rtl w:val="0"/>
        </w:rPr>
        <w:t xml:space="preserve">http://www.minedu.sk/akreditacie-vrezorte-skolstva/.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Metodické materiály pre učiteľov všetkých stupňov škôl sú dostupné na webovom sídle MPC: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http://www.mpc-edu.sk/publikacie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Podporné materiály Centra literatúry pre deti a mládež a podpory čítania sú zverejnené na: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http://www.bibiana.sk/sk/knizna-kultura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Metodické centrum SPgK pre školské knižnice zverejňuje na svojom webovom sídle: </w:t>
      </w:r>
      <w:r w:rsidDel="00000000" w:rsidR="00000000" w:rsidRPr="00000000">
        <w:rPr>
          <w:b w:val="1"/>
          <w:sz w:val="24"/>
          <w:szCs w:val="24"/>
          <w:rtl w:val="0"/>
        </w:rPr>
        <w:t xml:space="preserve">www.spgk.sk</w:t>
      </w:r>
      <w:r w:rsidDel="00000000" w:rsidR="00000000" w:rsidRPr="00000000">
        <w:rPr>
          <w:sz w:val="24"/>
          <w:szCs w:val="24"/>
          <w:rtl w:val="0"/>
        </w:rPr>
        <w:t xml:space="preserve"> rozličné informácie a materiály na podporu zvyšovania úrovne čitateľskej gramotnosti a kultúry čítania.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Na rozvíjanie čitateľskej gramotnosti je možné využívať uvoľnené úlohy PISA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metodické príručky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www.statpedu.sk</w:t>
      </w:r>
      <w:r w:rsidDel="00000000" w:rsidR="00000000" w:rsidRPr="00000000">
        <w:rPr>
          <w:sz w:val="24"/>
          <w:szCs w:val="24"/>
          <w:rtl w:val="0"/>
        </w:rPr>
        <w:t xml:space="preserve"> v rámci všetkých predmetov  SŠ.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Koordinátor čitateľskej gramotnosti sa bude snažiť v čo možno najväčšej miere organizovať podujatia na  triednych a školských úrovniach, ktoré podporujú pochopenie textu tak, aby žiak dokázal z textu vyťažiť čo najviac.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Primárnym zdrojom </w:t>
      </w:r>
      <w:r w:rsidDel="00000000" w:rsidR="00000000" w:rsidRPr="00000000">
        <w:rPr>
          <w:sz w:val="24"/>
          <w:szCs w:val="24"/>
          <w:rtl w:val="0"/>
        </w:rPr>
        <w:t xml:space="preserve">pre prácu s textom odporúčame využiť učebnice a pracovné zošity na všeobecnovzdelávacích, ako i odborných predmetoch.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Sekundárnym zdrojom</w:t>
      </w:r>
      <w:r w:rsidDel="00000000" w:rsidR="00000000" w:rsidRPr="00000000">
        <w:rPr>
          <w:sz w:val="24"/>
          <w:szCs w:val="24"/>
          <w:rtl w:val="0"/>
        </w:rPr>
        <w:t xml:space="preserve"> odporúčame využiť odborné časopisy a rôzne internetové zdroje.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Medzi dostupné odborné časopisy na škole patria: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cudzie jazyky (anglický, jazyk, nemecký jazyk) využívajú: Hurra, Bridge, Friendship, Freundschaft, Spitze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odbor kynológia využíva: Svet psov, Psie športy, Kynologická revue, Pes - priateľ človeka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odbor veterinárstvo využíva: Náš chov, Agromagazín, Slovenský chov, Slovenský veterinárny časopis, Chov oviec…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odbor manažment v pôdohodpodárstve/agroturistika/regionálny cestovný ruch/ekonomika a organizácia: Hotelier, Trend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odbore záhradná architektúra: Floristika, Sady a vinice, Záhradkár</w:t>
      </w:r>
    </w:p>
    <w:p w:rsidR="00000000" w:rsidDel="00000000" w:rsidP="00000000" w:rsidRDefault="00000000" w:rsidRPr="00000000" w14:paraId="00000054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14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Plán aktivít podporujúcich čitateľskú gramotnosť v šk.roku 2020/2021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tomto školskom roku sa budú musieť naplánované akcie prispôsobovať situácii vzhľadom na šírenie vírusu COVID-19. Budeme sledovať odporúčania hlavného hygienika.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Názov akcie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Meno vyučujúceho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Termín realizácie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Európsky deň jazykov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Jambrichová/Uhliariková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Olympiáda z anglického jazyka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Čanecká/ Bazelidesová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október-november 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Olympiáda z nemeckého jazyka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Pechancová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Olympiáda zo slovenského jazyka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Čadecká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december 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Návšteva britského centra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vyučujúce 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dohoda s Krajskou knižnicou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Návšteva divadelného predstavenia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vyučujúce SJL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podľa ponuky divadla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Biblické čítanie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Štefíková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sept.-máj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Prekladateľský seminár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Pechancová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február 2021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Záložka do knihy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Jambrichová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október 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Čitateľský maratón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Jambrichová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marec 2021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Shakespareś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Jambrichová/Štalmachová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apríl 2021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Moja obľúbená kniha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Jambrichová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marec 2021</w:t>
            </w:r>
          </w:p>
        </w:tc>
      </w:tr>
    </w:tbl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Zastúpenie Európskej komisie na Slovensku a Štátny pedagogický ústav v spolupráci s partnermi z jazykových inštitútov pripravujú Európsky deň jazykov 2020 on-line. V dňoch 7.-9.10 sa naša škola zapojí do rôznych interaktívnych seminárov.</w:t>
      </w:r>
    </w:p>
    <w:p w:rsidR="00000000" w:rsidDel="00000000" w:rsidP="00000000" w:rsidRDefault="00000000" w:rsidRPr="00000000" w14:paraId="00000085">
      <w:pPr>
        <w:spacing w:line="360" w:lineRule="auto"/>
        <w:ind w:left="144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144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biana.sk/sk/knizna-kultura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mpc-edu.sk/publikac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